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rFonts w:ascii="Calibri" w:cs="Calibri" w:eastAsia="Calibri" w:hAnsi="Calibri"/>
          <w:b/>
          <w:bCs/>
          <w:sz w:val="44"/>
          <w:szCs w:val="44"/>
        </w:rPr>
        <w:t xml:space="preserve">[COMPANY NAME] Per Diem Policy</w:t>
      </w:r>
    </w:p>
    <w:p>
      <w:pPr>
        <w:spacing w:after="240"/>
      </w:pPr>
      <w:r>
        <w:rPr>
          <w:rFonts w:ascii="Calibri" w:cs="Calibri" w:eastAsia="Calibri" w:hAnsi="Calibri"/>
          <w:i/>
          <w:iCs/>
          <w:color w:val="555555"/>
          <w:sz w:val="22"/>
          <w:szCs w:val="22"/>
        </w:rPr>
        <w:t xml:space="preserve">How [COMPANY NAME] pays lodging and meal allowances for overnight business travel.</w:t>
      </w:r>
    </w:p>
    <w:p>
      <w:pPr>
        <w:tabs>
          <w:tab w:val="left" w:pos="2160"/>
        </w:tabs>
        <w:spacing w:after="60"/>
      </w:pPr>
      <w:r>
        <w:rPr>
          <w:rFonts w:ascii="Calibri" w:cs="Calibri" w:eastAsia="Calibri" w:hAnsi="Calibri"/>
          <w:b/>
          <w:bCs/>
          <w:color w:val="555555"/>
          <w:sz w:val="20"/>
          <w:szCs w:val="20"/>
        </w:rPr>
        <w:t xml:space="preserve">Effective date</w:t>
      </w:r>
      <w:r>
        <w:rPr>
          <w:rFonts w:ascii="Calibri" w:cs="Calibri" w:eastAsia="Calibri" w:hAnsi="Calibri"/>
        </w:rPr>
        <w:t xml:space="preserve">	</w:t>
      </w:r>
      <w:r>
        <w:rPr>
          <w:rFonts w:ascii="Calibri" w:cs="Calibri" w:eastAsia="Calibri" w:hAnsi="Calibri"/>
          <w:sz w:val="20"/>
          <w:szCs w:val="20"/>
        </w:rPr>
        <w:t xml:space="preserve">[EFFECTIVE DATE]</w:t>
      </w:r>
    </w:p>
    <w:p>
      <w:pPr>
        <w:tabs>
          <w:tab w:val="left" w:pos="2160"/>
        </w:tabs>
        <w:spacing w:after="60"/>
      </w:pPr>
      <w:r>
        <w:rPr>
          <w:rFonts w:ascii="Calibri" w:cs="Calibri" w:eastAsia="Calibri" w:hAnsi="Calibri"/>
          <w:b/>
          <w:bCs/>
          <w:color w:val="555555"/>
          <w:sz w:val="20"/>
          <w:szCs w:val="20"/>
        </w:rPr>
        <w:t xml:space="preserve">Owner</w:t>
      </w:r>
      <w:r>
        <w:rPr>
          <w:rFonts w:ascii="Calibri" w:cs="Calibri" w:eastAsia="Calibri" w:hAnsi="Calibri"/>
        </w:rPr>
        <w:t xml:space="preserve">	</w:t>
      </w:r>
      <w:r>
        <w:rPr>
          <w:rFonts w:ascii="Calibri" w:cs="Calibri" w:eastAsia="Calibri" w:hAnsi="Calibri"/>
          <w:sz w:val="20"/>
          <w:szCs w:val="20"/>
        </w:rPr>
        <w:t xml:space="preserve">[POLICY OWNER]</w:t>
      </w:r>
    </w:p>
    <w:p>
      <w:pPr>
        <w:tabs>
          <w:tab w:val="left" w:pos="2160"/>
        </w:tabs>
        <w:spacing w:after="60"/>
      </w:pPr>
      <w:r>
        <w:rPr>
          <w:rFonts w:ascii="Calibri" w:cs="Calibri" w:eastAsia="Calibri" w:hAnsi="Calibri"/>
          <w:b/>
          <w:bCs/>
          <w:color w:val="555555"/>
          <w:sz w:val="20"/>
          <w:szCs w:val="20"/>
        </w:rPr>
        <w:t xml:space="preserve">Rate basis</w:t>
      </w:r>
      <w:r>
        <w:rPr>
          <w:rFonts w:ascii="Calibri" w:cs="Calibri" w:eastAsia="Calibri" w:hAnsi="Calibri"/>
        </w:rPr>
        <w:t xml:space="preserve">	</w:t>
      </w:r>
      <w:r>
        <w:rPr>
          <w:rFonts w:ascii="Calibri" w:cs="Calibri" w:eastAsia="Calibri" w:hAnsi="Calibri"/>
          <w:sz w:val="20"/>
          <w:szCs w:val="20"/>
        </w:rPr>
        <w:t xml:space="preserve">U.S. GSA per diem rates (FY2027: October 1, 2026 to September 30, 2027)</w:t>
      </w:r>
    </w:p>
    <w:p>
      <w:pPr>
        <w:tabs>
          <w:tab w:val="left" w:pos="2160"/>
        </w:tabs>
        <w:spacing w:after="60"/>
      </w:pPr>
      <w:r>
        <w:rPr>
          <w:rFonts w:ascii="Calibri" w:cs="Calibri" w:eastAsia="Calibri" w:hAnsi="Calibri"/>
          <w:b/>
          <w:bCs/>
          <w:color w:val="555555"/>
          <w:sz w:val="20"/>
          <w:szCs w:val="20"/>
        </w:rPr>
        <w:t xml:space="preserve">Version</w:t>
      </w:r>
      <w:r>
        <w:rPr>
          <w:rFonts w:ascii="Calibri" w:cs="Calibri" w:eastAsia="Calibri" w:hAnsi="Calibri"/>
        </w:rPr>
        <w:t xml:space="preserve">	</w:t>
      </w:r>
      <w:r>
        <w:rPr>
          <w:rFonts w:ascii="Calibri" w:cs="Calibri" w:eastAsia="Calibri" w:hAnsi="Calibri"/>
          <w:sz w:val="20"/>
          <w:szCs w:val="20"/>
        </w:rPr>
        <w:t xml:space="preserve">1.0</w:t>
      </w:r>
    </w:p>
    <w:p>
      <w:pPr>
        <w:spacing w:after="240"/>
      </w:pPr>
    </w:p>
    <w:p>
      <w:pPr>
        <w:spacing w:after="120" w:before="0"/>
      </w:pPr>
      <w:r>
        <w:rPr>
          <w:rFonts w:ascii="Calibri" w:cs="Calibri" w:eastAsia="Calibri" w:hAnsi="Calibri"/>
          <w:b/>
          <w:bCs/>
          <w:color w:val="111111"/>
          <w:sz w:val="28"/>
          <w:szCs w:val="28"/>
        </w:rPr>
        <w:t xml:space="preserve">How to use this template</w:t>
      </w:r>
    </w:p>
    <w:p>
      <w:pPr>
        <w:spacing w:after="100" w:line="280"/>
        <w:ind w:left="240"/>
      </w:pPr>
      <w:r>
        <w:rPr>
          <w:rFonts w:ascii="Calibri" w:cs="Calibri" w:eastAsia="Calibri" w:hAnsi="Calibri"/>
          <w:color w:val="333333"/>
          <w:sz w:val="20"/>
          <w:szCs w:val="20"/>
        </w:rPr>
        <w:t xml:space="preserve">1. Replace every [BRACKETED] placeholder with your value. Use Find and Replace (Ctrl+H on Windows, Cmd+Shift+H on Mac). The Placeholder Index on the next page lists all of them.</w:t>
      </w:r>
    </w:p>
    <w:p>
      <w:pPr>
        <w:spacing w:after="100" w:line="280"/>
        <w:ind w:left="240"/>
      </w:pPr>
      <w:r>
        <w:rPr>
          <w:rFonts w:ascii="Calibri" w:cs="Calibri" w:eastAsia="Calibri" w:hAnsi="Calibri"/>
          <w:color w:val="333333"/>
          <w:sz w:val="20"/>
          <w:szCs w:val="20"/>
        </w:rPr>
        <w:t xml:space="preserve">2. Section 4 sets the rates to GSA by location, which half of the published policies we reviewed use. If you want one flat daily rate for every city, or the IRS high-low method, swap in the alternative clause from Appendix D.</w:t>
      </w:r>
    </w:p>
    <w:p>
      <w:pPr>
        <w:spacing w:after="100" w:line="280"/>
        <w:ind w:left="240"/>
      </w:pPr>
      <w:r>
        <w:rPr>
          <w:rFonts w:ascii="Calibri" w:cs="Calibri" w:eastAsia="Calibri" w:hAnsi="Calibri"/>
          <w:color w:val="333333"/>
          <w:sz w:val="20"/>
          <w:szCs w:val="20"/>
        </w:rPr>
        <w:t xml:space="preserve">3. Section 5 and Section 11 decide the approval ceiling as a percentage of the lodging cap. 150% of the cap (1.5×) covers most conference and sold-out situations. The federal ceiling is 300%.</w:t>
      </w:r>
    </w:p>
    <w:p>
      <w:pPr>
        <w:spacing w:after="100" w:line="280"/>
        <w:ind w:left="240"/>
      </w:pPr>
      <w:r>
        <w:rPr>
          <w:rFonts w:ascii="Calibri" w:cs="Calibri" w:eastAsia="Calibri" w:hAnsi="Calibri"/>
          <w:color w:val="333333"/>
          <w:sz w:val="20"/>
          <w:szCs w:val="20"/>
        </w:rPr>
        <w:t xml:space="preserve">4. Appendix A lists the FY2027 standard rates and the M&amp;IE breakdown. Update it each October 1 when GSA publishes new rates, or replace it with a link to your rate lookup.</w:t>
      </w:r>
    </w:p>
    <w:p>
      <w:pPr>
        <w:spacing w:after="100" w:line="280"/>
        <w:ind w:left="240"/>
      </w:pPr>
      <w:r>
        <w:rPr>
          <w:rFonts w:ascii="Calibri" w:cs="Calibri" w:eastAsia="Calibri" w:hAnsi="Calibri"/>
          <w:color w:val="333333"/>
          <w:sz w:val="20"/>
          <w:szCs w:val="20"/>
        </w:rPr>
        <w:t xml:space="preserve">5. Have Finance and HR review before distributing. Per diem has tax consequences; this template is a starting point, not tax advice.</w:t>
      </w:r>
    </w:p>
    <w:p>
      <w:pPr>
        <w:spacing w:after="100" w:line="280"/>
        <w:ind w:left="240"/>
      </w:pPr>
      <w:r>
        <w:rPr>
          <w:rFonts w:ascii="Calibri" w:cs="Calibri" w:eastAsia="Calibri" w:hAnsi="Calibri"/>
          <w:color w:val="333333"/>
          <w:sz w:val="20"/>
          <w:szCs w:val="20"/>
        </w:rPr>
        <w:t xml:space="preserve">6. Delete this section and the Placeholder Index before distributing. They are for the policy author, not the reader.</w:t>
      </w:r>
    </w:p>
    <w:p>
      <w:pPr>
        <w:spacing w:after="0" w:before="200"/>
        <w:ind w:left="240"/>
      </w:pPr>
      <w:r>
        <w:rPr>
          <w:rFonts w:ascii="Calibri" w:cs="Calibri" w:eastAsia="Calibri" w:hAnsi="Calibri"/>
          <w:b/>
          <w:bCs/>
          <w:color w:val="111111"/>
          <w:sz w:val="20"/>
          <w:szCs w:val="20"/>
        </w:rPr>
        <w:t xml:space="preserve">Tip: </w:t>
      </w:r>
      <w:r>
        <w:rPr>
          <w:rFonts w:ascii="Calibri" w:cs="Calibri" w:eastAsia="Calibri" w:hAnsi="Calibri"/>
          <w:color w:val="333333"/>
          <w:sz w:val="20"/>
          <w:szCs w:val="20"/>
        </w:rPr>
        <w:t xml:space="preserve">A per diem policy only holds if the cap is enforced where the room is booked. Engine lets an admin set nightly rate caps by location, checks every hotel booking against them before checkout, and keeps the folio on the reservation. Pair this policy with the free per diem expense report template at engine.com/templates/per-diem-expense-report-template. Get started free at </w:t>
      </w:r>
      <w:hyperlink w:history="1" r:id="rIdldzxon1dkfnpgblvucrq5">
        <w:r>
          <w:rPr>
            <w:rFonts w:ascii="Calibri" w:cs="Calibri" w:eastAsia="Calibri" w:hAnsi="Calibri"/>
            <w:b/>
            <w:bCs/>
            <w:color w:val="1E9D6D"/>
            <w:sz w:val="20"/>
            <w:szCs w:val="20"/>
            <w:u w:val="single"/>
          </w:rPr>
          <w:t xml:space="preserve">engine.com</w:t>
        </w:r>
      </w:hyperlink>
      <w:r>
        <w:rPr>
          <w:rFonts w:ascii="Calibri" w:cs="Calibri" w:eastAsia="Calibri" w:hAnsi="Calibri"/>
          <w:color w:val="333333"/>
          <w:sz w:val="20"/>
          <w:szCs w:val="20"/>
        </w:rPr>
        <w:t xml:space="preserve">.</w:t>
      </w:r>
    </w:p>
    <w:p>
      <w:r>
        <w:br w:type="page"/>
      </w:r>
    </w:p>
    <w:p>
      <w:pPr>
        <w:spacing w:after="120" w:before="0"/>
      </w:pPr>
      <w:r>
        <w:rPr>
          <w:rFonts w:ascii="Calibri" w:cs="Calibri" w:eastAsia="Calibri" w:hAnsi="Calibri"/>
          <w:b/>
          <w:bCs/>
          <w:color w:val="111111"/>
          <w:sz w:val="28"/>
          <w:szCs w:val="28"/>
        </w:rPr>
        <w:t xml:space="preserve">Placeholder index</w:t>
      </w:r>
    </w:p>
    <w:p>
      <w:pPr>
        <w:spacing w:after="200"/>
      </w:pPr>
      <w:r>
        <w:rPr>
          <w:rFonts w:ascii="Calibri" w:cs="Calibri" w:eastAsia="Calibri" w:hAnsi="Calibri"/>
          <w:color w:val="333333"/>
          <w:sz w:val="22"/>
          <w:szCs w:val="22"/>
        </w:rPr>
        <w:t xml:space="preserve">Every placeholder in this template and what to put in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Placeholder</w:t>
            </w:r>
          </w:p>
        </w:tc>
        <w:tc>
          <w:tcPr>
            <w:tcW w:type="dxa" w:w="64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What to put there</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[COMPANY NAME]</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Your legal or trading name, used throughout.</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[POLICY OWNER]</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The team or role that owns this policy and answers questions, e.g. Finance, HR, Operations.</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[EFFECTIVE DATE]</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The date this version takes effect.</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[BOOKING TOOL]</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Where travelers book hotels, e.g. Engine. Used in Section 5.</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[EXPENSE TOOL]</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Where per diem reports are submitted, e.g. your expense system or the Engine per diem expense report template.</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[MINIMUM DISTANCE]</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Miles from home or office before a trip counts as travel status. 50 miles is the common choice.</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[OVER-CAP LIMIT]</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The approval ceiling as a percentage of the cap (150% means 1.5× the cap). 150% is common; the federal ceiling is 300%.</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[APPROVER]</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Who approves exceptions and signs per diem reports, e.g. the traveler's manager.</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[SUBMISSION DEADLINE]</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Days after the trip ends to file. 30 days is common; the IRS treats 60 days as reasonable.</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[ADVANCE LIMIT]</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The maximum travel advance, e.g. 80% of estimated per diem, or a dollar amount.</w:t>
            </w:r>
          </w:p>
        </w:tc>
      </w:tr>
      <w:tr>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[REPAYMENT WINDOW]</w:t>
            </w:r>
          </w:p>
        </w:tc>
        <w:tc>
          <w:tcPr>
            <w:tcW w:type="dxa" w:w="64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Days after the trip to return any unspent advance. The IRS treats 120 days as reasonable.</w:t>
            </w:r>
          </w:p>
        </w:tc>
      </w:tr>
      <w:tr>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[FLAT LODGING] and [FLAT M&amp;IE]</w:t>
            </w:r>
          </w:p>
        </w:tc>
        <w:tc>
          <w:tcPr>
            <w:tcW w:type="dxa" w:w="64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Appendix D, Option 1 only. The flat nightly lodging and daily M&amp;IE amounts if you choose one company rate instead of GSA rates.</w:t>
            </w:r>
          </w:p>
        </w:tc>
      </w:tr>
    </w:tbl>
    <w:p>
      <w:pPr>
        <w:spacing w:after="0" w:before="200"/>
      </w:pPr>
    </w:p>
    <w:p>
      <w:r>
        <w:br w:type="page"/>
      </w:r>
    </w:p>
    <w:p>
      <w:pPr>
        <w:pStyle w:val="Heading1"/>
      </w:pPr>
      <w:r>
        <w:rPr>
          <w:rFonts w:ascii="Calibri" w:cs="Calibri" w:eastAsia="Calibri" w:hAnsi="Calibri"/>
          <w:b/>
          <w:bCs/>
        </w:rPr>
        <w:t xml:space="preserve">Policy</w:t>
      </w:r>
    </w:p>
    <w:p>
      <w:pPr>
        <w:pStyle w:val="Heading2"/>
      </w:pPr>
      <w:r>
        <w:rPr>
          <w:rFonts w:ascii="Calibri" w:cs="Calibri" w:eastAsia="Calibri" w:hAnsi="Calibri"/>
          <w:b/>
          <w:bCs/>
        </w:rPr>
        <w:t xml:space="preserve">1. Purpose and Scope</w:t>
      </w:r>
    </w:p>
    <w:p>
      <w:pPr>
        <w:spacing w:after="120" w:line="300"/>
      </w:pPr>
      <w:r>
        <w:rPr>
          <w:rFonts w:ascii="Calibri" w:cs="Calibri" w:eastAsia="Calibri" w:hAnsi="Calibri"/>
        </w:rPr>
        <w:t xml:space="preserve">This policy sets how [COMPANY NAME] pays for lodging, meals, and incidental expenses when employees travel overnight for work. It replaces itemized meal reimbursement with a daily allowance and sets a nightly cap on lodging.</w:t>
      </w:r>
    </w:p>
    <w:p>
      <w:pPr>
        <w:spacing w:after="120" w:line="300"/>
      </w:pPr>
      <w:r>
        <w:rPr>
          <w:rFonts w:ascii="Calibri" w:cs="Calibri" w:eastAsia="Calibri" w:hAnsi="Calibri"/>
        </w:rPr>
        <w:t xml:space="preserve">It applies to all employees, paid interns, and contractors whose agreement provides for per diem, for travel paid or reimbursed by [COMPANY NAME]. Airfare, ground transport, mileage, and other trip costs are covered by the [COMPANY NAME] Travel and Expense Policy, not this one.</w:t>
      </w:r>
    </w:p>
    <w:p>
      <w:pPr>
        <w:spacing w:after="120" w:line="300"/>
      </w:pPr>
      <w:r>
        <w:rPr>
          <w:rFonts w:ascii="Calibri" w:cs="Calibri" w:eastAsia="Calibri" w:hAnsi="Calibri"/>
        </w:rPr>
        <w:t xml:space="preserve">Where this policy and the Travel and Expense Policy conflict on lodging or meals, this policy controls.</w:t>
      </w:r>
    </w:p>
    <w:p>
      <w:pPr>
        <w:pStyle w:val="Heading2"/>
      </w:pPr>
      <w:r>
        <w:rPr>
          <w:rFonts w:ascii="Calibri" w:cs="Calibri" w:eastAsia="Calibri" w:hAnsi="Calibri"/>
          <w:b/>
          <w:bCs/>
        </w:rPr>
        <w:t xml:space="preserve">2. Definitions</w:t>
      </w:r>
    </w:p>
    <w:p>
      <w:pPr>
        <w:spacing w:after="120" w:line="300"/>
      </w:pPr>
      <w:r>
        <w:rPr>
          <w:rFonts w:ascii="Calibri" w:cs="Calibri" w:eastAsia="Calibri" w:hAnsi="Calibri"/>
        </w:rPr>
        <w:t xml:space="preserve">Per diem: a daily allowance for lodging, meals, and incidental expenses while in travel status, in place of reimbursing actual meal costs.</w:t>
      </w:r>
    </w:p>
    <w:p>
      <w:pPr>
        <w:spacing w:after="120" w:line="300"/>
      </w:pPr>
      <w:r>
        <w:rPr>
          <w:rFonts w:ascii="Calibri" w:cs="Calibri" w:eastAsia="Calibri" w:hAnsi="Calibri"/>
        </w:rPr>
        <w:t xml:space="preserve">Lodging cap: the maximum nightly room rate, before taxes, that [COMPANY NAME] reimburses for a destination and month. Mandatory hotel or resort fees count toward the cap.</w:t>
      </w:r>
    </w:p>
    <w:p>
      <w:pPr>
        <w:spacing w:after="120" w:line="300"/>
      </w:pPr>
      <w:r>
        <w:rPr>
          <w:rFonts w:ascii="Calibri" w:cs="Calibri" w:eastAsia="Calibri" w:hAnsi="Calibri"/>
        </w:rPr>
        <w:t xml:space="preserve">M&amp;IE: the daily allowance for meals and incidental expenses. Incidentals are fees and tips for porters, baggage carriers, hotel staff, and similar services. They do not include laundry, phone calls, parking, tolls, or transportation to meals, which are claimed separately under the Travel and Expense Policy.</w:t>
      </w:r>
    </w:p>
    <w:p>
      <w:pPr>
        <w:spacing w:after="120" w:line="300"/>
      </w:pPr>
      <w:r>
        <w:rPr>
          <w:rFonts w:ascii="Calibri" w:cs="Calibri" w:eastAsia="Calibri" w:hAnsi="Calibri"/>
        </w:rPr>
        <w:t xml:space="preserve">Travel status: the period from when the traveler leaves home or the office on a trip until they return. A trip qualifies only if it is more than [MINIMUM DISTANCE] miles from the traveler's home and regular work location.</w:t>
      </w:r>
    </w:p>
    <w:p>
      <w:pPr>
        <w:spacing w:after="120" w:line="300"/>
      </w:pPr>
      <w:r>
        <w:rPr>
          <w:rFonts w:ascii="Calibri" w:cs="Calibri" w:eastAsia="Calibri" w:hAnsi="Calibri"/>
        </w:rPr>
        <w:t xml:space="preserve">Work location: the city or county where the business is conducted on a given day. Rates follow the work location, not where the traveler sleeps, unless the traveler has approval to lodge elsewhere.</w:t>
      </w:r>
    </w:p>
    <w:p>
      <w:pPr>
        <w:pStyle w:val="Heading2"/>
      </w:pPr>
      <w:r>
        <w:rPr>
          <w:rFonts w:ascii="Calibri" w:cs="Calibri" w:eastAsia="Calibri" w:hAnsi="Calibri"/>
          <w:b/>
          <w:bCs/>
        </w:rPr>
        <w:t xml:space="preserve">3. When Per Diem Applies</w:t>
      </w:r>
    </w:p>
    <w:p>
      <w:pPr>
        <w:spacing w:after="120" w:line="300"/>
      </w:pPr>
      <w:r>
        <w:rPr>
          <w:rFonts w:ascii="Calibri" w:cs="Calibri" w:eastAsia="Calibri" w:hAnsi="Calibri"/>
        </w:rPr>
        <w:t xml:space="preserve">Lodging per diem is paid for each night the traveler stays in commercial lodging while in travel status. M&amp;IE is paid for each calendar day in travel status, including the departure and return days at the reduced rate in Section 7.</w:t>
      </w:r>
    </w:p>
    <w:p>
      <w:pPr>
        <w:spacing w:after="120" w:line="300"/>
      </w:pPr>
      <w:r>
        <w:rPr>
          <w:rFonts w:ascii="Calibri" w:cs="Calibri" w:eastAsia="Calibri" w:hAnsi="Calibri"/>
        </w:rPr>
        <w:t xml:space="preserve">No per diem is paid for a same-day trip without an overnight stay, whatever its length. Federal employees receive 75% of M&amp;IE on day trips over 12 hours, but IRS rules require an overnight stay for a meal allowance to be tax-free, so [COMPANY NAME] covers same-day meals under the Travel and Expense Policy, if at all.</w:t>
      </w:r>
    </w:p>
    <w:p>
      <w:pPr>
        <w:spacing w:after="120" w:line="300"/>
      </w:pPr>
      <w:r>
        <w:rPr>
          <w:rFonts w:ascii="Calibri" w:cs="Calibri" w:eastAsia="Calibri" w:hAnsi="Calibri"/>
        </w:rPr>
        <w:t xml:space="preserve">No per diem is paid for personal days added to a trip, for days the traveler is at their regular work location, or for lodging with friends or family. Travelers who choose to stay with friends or family are reimbursed M&amp;IE only.</w:t>
      </w:r>
    </w:p>
    <w:p>
      <w:pPr>
        <w:spacing w:after="120" w:line="300"/>
      </w:pPr>
      <w:r>
        <w:rPr>
          <w:rFonts w:ascii="Calibri" w:cs="Calibri" w:eastAsia="Calibri" w:hAnsi="Calibri"/>
        </w:rPr>
        <w:t xml:space="preserve">Per diem is not paid for travel of 30 consecutive days or more at one location without [POLICY OWNER] approval. Approved extended assignments are paid at a reduced rate agreed in writing before the assignment starts, as 41 CFR 301-11.22 allows. Under IRS rules an assignment at one work location that is expected to last, or does last, more than one year is indefinite, and lodging and M&amp;IE paid for it are taxable wages from the date that becomes expected.</w:t>
      </w:r>
    </w:p>
    <w:p>
      <w:pPr>
        <w:pStyle w:val="Heading2"/>
      </w:pPr>
      <w:r>
        <w:rPr>
          <w:rFonts w:ascii="Calibri" w:cs="Calibri" w:eastAsia="Calibri" w:hAnsi="Calibri"/>
          <w:b/>
          <w:bCs/>
        </w:rPr>
        <w:t xml:space="preserve">4. Rates</w:t>
      </w:r>
    </w:p>
    <w:p>
      <w:pPr>
        <w:spacing w:after="120" w:line="300"/>
      </w:pPr>
      <w:r>
        <w:rPr>
          <w:rFonts w:ascii="Calibri" w:cs="Calibri" w:eastAsia="Calibri" w:hAnsi="Calibri"/>
        </w:rPr>
        <w:t xml:space="preserve">[COMPANY NAME] uses the U.S. General Services Administration (GSA) per diem rates for the destination and month of travel. GSA publishes a lodging cap and an M&amp;IE rate for about 300 named destinations in the continental United States and a standard rate for everywhere else. For FY2027 (October 1, 2026 to September 30, 2027) the standard rate is $113 for lodging and $68 for M&amp;IE. Named destinations run from $68 to $92 for M&amp;IE, with lodging caps that change by month in many cities.</w:t>
      </w:r>
    </w:p>
    <w:p>
      <w:pPr>
        <w:spacing w:after="120" w:line="300"/>
      </w:pPr>
      <w:r>
        <w:rPr>
          <w:rFonts w:ascii="Calibri" w:cs="Calibri" w:eastAsia="Calibri" w:hAnsi="Calibri"/>
        </w:rPr>
        <w:t xml:space="preserve">Travelers and approvers look up the rate at gsa.gov/travel/plan-book/per-diem-rates or in the rate lookup at engine.com/data/per-diem-rates before booking. The rate in effect on the date of travel applies. GSA updates rates every October 1; [POLICY OWNER] updates Appendix A and this policy's rate references at the same time.</w:t>
      </w:r>
    </w:p>
    <w:p>
      <w:pPr>
        <w:spacing w:after="120" w:line="300"/>
      </w:pPr>
      <w:r>
        <w:rPr>
          <w:rFonts w:ascii="Calibri" w:cs="Calibri" w:eastAsia="Calibri" w:hAnsi="Calibri"/>
        </w:rPr>
        <w:t xml:space="preserve">Alaska, Hawaii, and U.S. territories use the Department of Defense per diem rates. Foreign travel uses the U.S. Department of State per diem rates. Both follow the rules in this policy, except that foreign lodging rates already include lodging taxes (41 CFR 301-11.16) and non-CONUS provided-meal deductions use the GSA OCONUS M&amp;IE breakdown.</w:t>
      </w:r>
    </w:p>
    <w:p>
      <w:pPr>
        <w:spacing w:after="120" w:line="300"/>
      </w:pPr>
      <w:r>
        <w:rPr>
          <w:rFonts w:ascii="Calibri" w:cs="Calibri" w:eastAsia="Calibri" w:hAnsi="Calibri"/>
        </w:rPr>
        <w:t xml:space="preserve">To use one flat daily rate for every destination, or the IRS high-low method, replace this section with the matching clause in Appendix D.</w:t>
      </w:r>
    </w:p>
    <w:p>
      <w:pPr>
        <w:pStyle w:val="Heading2"/>
      </w:pPr>
      <w:r>
        <w:rPr>
          <w:rFonts w:ascii="Calibri" w:cs="Calibri" w:eastAsia="Calibri" w:hAnsi="Calibri"/>
          <w:b/>
          <w:bCs/>
        </w:rPr>
        <w:t xml:space="preserve">5. Lodging</w:t>
      </w:r>
    </w:p>
    <w:p>
      <w:pPr>
        <w:spacing w:after="120" w:line="300"/>
      </w:pPr>
      <w:r>
        <w:rPr>
          <w:rFonts w:ascii="Calibri" w:cs="Calibri" w:eastAsia="Calibri" w:hAnsi="Calibri"/>
        </w:rPr>
        <w:t xml:space="preserve">Lodging is reimbursed at actual cost up to the GSA lodging cap for the work location and check-in month, based on the room rate before taxes. Mandatory hotel or resort fees count toward the cap. In the United States and its territories, lodging taxes are reimbursed separately, in addition to the cap, but only on the portion of the room rate within the cap.</w:t>
      </w:r>
    </w:p>
    <w:p>
      <w:pPr>
        <w:spacing w:after="120" w:line="300"/>
      </w:pPr>
      <w:r>
        <w:rPr>
          <w:rFonts w:ascii="Calibri" w:cs="Calibri" w:eastAsia="Calibri" w:hAnsi="Calibri"/>
        </w:rPr>
        <w:t xml:space="preserve">Travelers book through [BOOKING TOOL], which applies the cap at the time of booking. Rooms above the cap are not available without an approved exception under Section 11. When booking outside [BOOKING TOOL] is unavoidable, the traveler must confirm the rate is under the cap before booking and attach the itemized folio to the report.</w:t>
      </w:r>
    </w:p>
    <w:p>
      <w:pPr>
        <w:spacing w:after="120" w:line="300"/>
      </w:pPr>
      <w:r>
        <w:rPr>
          <w:rFonts w:ascii="Calibri" w:cs="Calibri" w:eastAsia="Calibri" w:hAnsi="Calibri"/>
        </w:rPr>
        <w:t xml:space="preserve">With written approval from [APPROVER] before booking, lodging may go up to [OVER-CAP LIMIT] of the cap when no room under the cap is available within a reasonable distance of the work location, when the traveler must stay at a conference or event hotel, or when safety requires it. The approval is attached to the per diem report. Amounts above the approved limit are the traveler's responsibility.</w:t>
      </w:r>
    </w:p>
    <w:p>
      <w:pPr>
        <w:spacing w:after="120" w:line="300"/>
      </w:pPr>
      <w:r>
        <w:rPr>
          <w:rFonts w:ascii="Calibri" w:cs="Calibri" w:eastAsia="Calibri" w:hAnsi="Calibri"/>
        </w:rPr>
        <w:t xml:space="preserve">An itemized hotel receipt (folio) is required for every night claimed, regardless of amount. Room upgrades, movies, minibar, and other personal charges on the folio are not reimbursed.</w:t>
      </w:r>
    </w:p>
    <w:p>
      <w:pPr>
        <w:pStyle w:val="Heading2"/>
      </w:pPr>
      <w:r>
        <w:rPr>
          <w:rFonts w:ascii="Calibri" w:cs="Calibri" w:eastAsia="Calibri" w:hAnsi="Calibri"/>
          <w:b/>
          <w:bCs/>
        </w:rPr>
        <w:t xml:space="preserve">6. Meals and Incidental Expenses</w:t>
      </w:r>
    </w:p>
    <w:p>
      <w:pPr>
        <w:spacing w:after="120" w:line="300"/>
      </w:pPr>
      <w:r>
        <w:rPr>
          <w:rFonts w:ascii="Calibri" w:cs="Calibri" w:eastAsia="Calibri" w:hAnsi="Calibri"/>
        </w:rPr>
        <w:t xml:space="preserve">Travelers receive the GSA M&amp;IE rate for the work location for each full day in travel status. The allowance is a flat amount; it is paid in full whether the traveler spends more or less, and no meal receipts are required.</w:t>
      </w:r>
    </w:p>
    <w:p>
      <w:pPr>
        <w:spacing w:after="120" w:line="300"/>
      </w:pPr>
      <w:r>
        <w:rPr>
          <w:rFonts w:ascii="Calibri" w:cs="Calibri" w:eastAsia="Calibri" w:hAnsi="Calibri"/>
        </w:rPr>
        <w:t xml:space="preserve">M&amp;IE covers all meals, tips on meals, and incidentals as defined in Section 2. Alcohol, entertainment, and meals for guests are not covered by M&amp;IE and are reimbursable only under the Travel and Expense Policy with approval.</w:t>
      </w:r>
    </w:p>
    <w:p>
      <w:pPr>
        <w:spacing w:after="120" w:line="300"/>
      </w:pPr>
      <w:r>
        <w:rPr>
          <w:rFonts w:ascii="Calibri" w:cs="Calibri" w:eastAsia="Calibri" w:hAnsi="Calibri"/>
        </w:rPr>
        <w:t xml:space="preserve">The incidental portion of M&amp;IE is $5 per day. When a traveler receives no M&amp;IE for a day because all meals were provided, they still receive the $5 incidental amount.</w:t>
      </w:r>
    </w:p>
    <w:p>
      <w:pPr>
        <w:pStyle w:val="Heading2"/>
      </w:pPr>
      <w:r>
        <w:rPr>
          <w:rFonts w:ascii="Calibri" w:cs="Calibri" w:eastAsia="Calibri" w:hAnsi="Calibri"/>
          <w:b/>
          <w:bCs/>
        </w:rPr>
        <w:t xml:space="preserve">7. Travel Days and Provided Meals</w:t>
      </w:r>
    </w:p>
    <w:p>
      <w:pPr>
        <w:spacing w:after="120" w:line="300"/>
      </w:pPr>
      <w:r>
        <w:rPr>
          <w:rFonts w:ascii="Calibri" w:cs="Calibri" w:eastAsia="Calibri" w:hAnsi="Calibri"/>
        </w:rPr>
        <w:t xml:space="preserve">On the day of departure and the day of return, M&amp;IE is paid at 75% of the full daily rate for the work location, whatever time the traveler leaves or returns. Lodging is not reduced on travel days.</w:t>
      </w:r>
    </w:p>
    <w:p>
      <w:pPr>
        <w:spacing w:after="120" w:line="300"/>
      </w:pPr>
      <w:r>
        <w:rPr>
          <w:rFonts w:ascii="Calibri" w:cs="Calibri" w:eastAsia="Calibri" w:hAnsi="Calibri"/>
        </w:rPr>
        <w:t xml:space="preserve">When a meal is provided by a conference, a host, a client, or is included in a registration or event fee, the value of that meal is deducted from the day's M&amp;IE using the GSA meal breakdown in Appendix B. The deduction applies on travel days too, after the 75% reduction. A day's M&amp;IE never drops below the $5 incidental amount.</w:t>
      </w:r>
    </w:p>
    <w:p>
      <w:pPr>
        <w:spacing w:after="120" w:line="300"/>
      </w:pPr>
      <w:r>
        <w:rPr>
          <w:rFonts w:ascii="Calibri" w:cs="Calibri" w:eastAsia="Calibri" w:hAnsi="Calibri"/>
        </w:rPr>
        <w:t xml:space="preserve">Complimentary hotel breakfast and airline snacks are not deducted. Skipping a provided meal and buying food personally does not waive the deduction. A traveler who cannot eat a provided meal for medical or religious reasons, or because of conflicting company business, and tells [APPROVER] in advance receives the full allowance.</w:t>
      </w:r>
    </w:p>
    <w:p>
      <w:pPr>
        <w:pStyle w:val="Heading2"/>
      </w:pPr>
      <w:r>
        <w:rPr>
          <w:rFonts w:ascii="Calibri" w:cs="Calibri" w:eastAsia="Calibri" w:hAnsi="Calibri"/>
          <w:b/>
          <w:bCs/>
        </w:rPr>
        <w:t xml:space="preserve">8. Advances</w:t>
      </w:r>
    </w:p>
    <w:p>
      <w:pPr>
        <w:spacing w:after="120" w:line="300"/>
      </w:pPr>
      <w:r>
        <w:rPr>
          <w:rFonts w:ascii="Calibri" w:cs="Calibri" w:eastAsia="Calibri" w:hAnsi="Calibri"/>
        </w:rPr>
        <w:t xml:space="preserve">Travelers may request a per diem advance of up to [ADVANCE LIMIT] for trips of three nights or more, or for any trip where [POLICY OWNER] determines an advance is appropriate. Requests go to [APPROVER] at least five business days before departure.</w:t>
      </w:r>
    </w:p>
    <w:p>
      <w:pPr>
        <w:spacing w:after="120" w:line="300"/>
      </w:pPr>
      <w:r>
        <w:rPr>
          <w:rFonts w:ascii="Calibri" w:cs="Calibri" w:eastAsia="Calibri" w:hAnsi="Calibri"/>
        </w:rPr>
        <w:t xml:space="preserve">The advance is reconciled on the per diem report for the trip. Any amount above the final per diem due is repaid within [REPAYMENT WINDOW] days of the trip, not to exceed 120 days. Where state law and a signed authorization allow, [COMPANY NAME] may deduct an unreturned advance from pay. Any excess not repaid or recovered within [REPAYMENT WINDOW] days is reported as taxable wages.</w:t>
      </w:r>
    </w:p>
    <w:p>
      <w:pPr>
        <w:pStyle w:val="Heading2"/>
      </w:pPr>
      <w:r>
        <w:rPr>
          <w:rFonts w:ascii="Calibri" w:cs="Calibri" w:eastAsia="Calibri" w:hAnsi="Calibri"/>
          <w:b/>
          <w:bCs/>
        </w:rPr>
        <w:t xml:space="preserve">9. Documentation and Submission</w:t>
      </w:r>
    </w:p>
    <w:p>
      <w:pPr>
        <w:spacing w:after="120" w:line="300"/>
      </w:pPr>
      <w:r>
        <w:rPr>
          <w:rFonts w:ascii="Calibri" w:cs="Calibri" w:eastAsia="Calibri" w:hAnsi="Calibri"/>
        </w:rPr>
        <w:t xml:space="preserve">Travelers submit a per diem report in [EXPENSE TOOL] within [SUBMISSION DEADLINE] days of the trip. The report lists each day in travel status with the date, the work location, the applicable lodging cap and M&amp;IE rate, lodging paid, meals provided, and the trip's business purpose.</w:t>
      </w:r>
    </w:p>
    <w:p>
      <w:pPr>
        <w:spacing w:after="120" w:line="300"/>
      </w:pPr>
      <w:r>
        <w:rPr>
          <w:rFonts w:ascii="Calibri" w:cs="Calibri" w:eastAsia="Calibri" w:hAnsi="Calibri"/>
        </w:rPr>
        <w:t xml:space="preserve">The report must include the itemized hotel folio for every night, the written approval for any over-cap lodging, and receipts for any other expense claimed on the same report under the Travel and Expense Policy. Meal receipts are not required for M&amp;IE.</w:t>
      </w:r>
    </w:p>
    <w:p>
      <w:pPr>
        <w:spacing w:after="120" w:line="300"/>
      </w:pPr>
      <w:r>
        <w:rPr>
          <w:rFonts w:ascii="Calibri" w:cs="Calibri" w:eastAsia="Calibri" w:hAnsi="Calibri"/>
        </w:rPr>
        <w:t xml:space="preserve">Reports filed more than 60 days after the trip require [APPROVER] approval and are treated as taxable wages under Section 10. Reports filed more than 90 days after the trip are not reimbursed, except where state law requires reimbursement of necessary business expenses, in which case the payment is made as taxable wages and the late filing is handled under Section 12.</w:t>
      </w:r>
    </w:p>
    <w:p>
      <w:pPr>
        <w:spacing w:after="120" w:line="300"/>
      </w:pPr>
      <w:r>
        <w:rPr>
          <w:rFonts w:ascii="Calibri" w:cs="Calibri" w:eastAsia="Calibri" w:hAnsi="Calibri"/>
        </w:rPr>
        <w:t xml:space="preserve">[APPROVER] reviews each report for dates, locations, provided meals, and the folio, and approves or returns it within five business days. Finance pays approved reports in the next payroll or reimbursement cycle.</w:t>
      </w:r>
    </w:p>
    <w:p>
      <w:pPr>
        <w:pStyle w:val="Heading2"/>
      </w:pPr>
      <w:r>
        <w:rPr>
          <w:rFonts w:ascii="Calibri" w:cs="Calibri" w:eastAsia="Calibri" w:hAnsi="Calibri"/>
          <w:b/>
          <w:bCs/>
        </w:rPr>
        <w:t xml:space="preserve">10. Tax Treatment</w:t>
      </w:r>
    </w:p>
    <w:p>
      <w:pPr>
        <w:spacing w:after="120" w:line="300"/>
      </w:pPr>
      <w:r>
        <w:rPr>
          <w:rFonts w:ascii="Calibri" w:cs="Calibri" w:eastAsia="Calibri" w:hAnsi="Calibri"/>
        </w:rPr>
        <w:t xml:space="preserve">[COMPANY NAME] pays per diem under an accountable plan as defined by the IRS. Per diem paid at or below the federal rate, substantiated with the time, place, and business purpose of travel, and reconciled against any advance, is not taxable income to the traveler and is not reported as wages.</w:t>
      </w:r>
    </w:p>
    <w:p>
      <w:pPr>
        <w:spacing w:after="120" w:line="300"/>
      </w:pPr>
      <w:r>
        <w:rPr>
          <w:rFonts w:ascii="Calibri" w:cs="Calibri" w:eastAsia="Calibri" w:hAnsi="Calibri"/>
        </w:rPr>
        <w:t xml:space="preserve">Any amount paid above the federal rate for the location, any per diem paid without a timely report, and any unreturned advance is taxable wages, subject to withholding, and reported on the employee's Form W-2. Employees who own more than 10% of [COMPANY NAME] cannot use the per diem method for lodging and must substantiate actual lodging costs. For independent contractors, per diem substantiated under this policy is not reported on Form 1099-NEC; unsubstantiated amounts and amounts above the federal rate are reported as nonemployee compensation.</w:t>
      </w:r>
    </w:p>
    <w:p>
      <w:pPr>
        <w:spacing w:after="120" w:line="300"/>
      </w:pPr>
      <w:r>
        <w:rPr>
          <w:rFonts w:ascii="Calibri" w:cs="Calibri" w:eastAsia="Calibri" w:hAnsi="Calibri"/>
        </w:rPr>
        <w:t xml:space="preserve">Travelers are responsible for their own tax position on any amount this policy treats as wages. [POLICY OWNER] can explain how a payment was classified but does not give tax advice.</w:t>
      </w:r>
    </w:p>
    <w:p>
      <w:pPr>
        <w:pStyle w:val="Heading2"/>
      </w:pPr>
      <w:r>
        <w:rPr>
          <w:rFonts w:ascii="Calibri" w:cs="Calibri" w:eastAsia="Calibri" w:hAnsi="Calibri"/>
          <w:b/>
          <w:bCs/>
        </w:rPr>
        <w:t xml:space="preserve">11. Exceptions and Approvals</w:t>
      </w:r>
    </w:p>
    <w:p>
      <w:pPr>
        <w:spacing w:after="120" w:line="300"/>
      </w:pPr>
      <w:r>
        <w:rPr>
          <w:rFonts w:ascii="Calibri" w:cs="Calibri" w:eastAsia="Calibri" w:hAnsi="Calibri"/>
        </w:rPr>
        <w:t xml:space="preserve">Exceptions to the lodging cap follow Section 5 and require written approval from [APPROVER] before booking. Exceptions to M&amp;IE are not granted; the daily rate is fixed.</w:t>
      </w:r>
    </w:p>
    <w:p>
      <w:pPr>
        <w:spacing w:after="120" w:line="300"/>
      </w:pPr>
      <w:r>
        <w:rPr>
          <w:rFonts w:ascii="Calibri" w:cs="Calibri" w:eastAsia="Calibri" w:hAnsi="Calibri"/>
        </w:rPr>
        <w:t xml:space="preserve">Travelers may always choose a room above the cap and pay the difference personally. The reimbursed amount is the lesser of the room rate and the cap, and taxes are reimbursed only on the capped amount.</w:t>
      </w:r>
    </w:p>
    <w:p>
      <w:pPr>
        <w:spacing w:after="120" w:line="300"/>
      </w:pPr>
      <w:r>
        <w:rPr>
          <w:rFonts w:ascii="Calibri" w:cs="Calibri" w:eastAsia="Calibri" w:hAnsi="Calibri"/>
        </w:rPr>
        <w:t xml:space="preserve">Approvers may not approve their own travel. Exceptions for [APPROVER] are approved by [POLICY OWNER]. A record of exceptions is reviewed quarterly to identify destinations where the cap is routinely insufficient.</w:t>
      </w:r>
    </w:p>
    <w:p>
      <w:pPr>
        <w:pStyle w:val="Heading2"/>
      </w:pPr>
      <w:r>
        <w:rPr>
          <w:rFonts w:ascii="Calibri" w:cs="Calibri" w:eastAsia="Calibri" w:hAnsi="Calibri"/>
          <w:b/>
          <w:bCs/>
        </w:rPr>
        <w:t xml:space="preserve">12. Enforcement and Review</w:t>
      </w:r>
    </w:p>
    <w:p>
      <w:pPr>
        <w:spacing w:after="120" w:line="300"/>
      </w:pPr>
      <w:r>
        <w:rPr>
          <w:rFonts w:ascii="Calibri" w:cs="Calibri" w:eastAsia="Calibri" w:hAnsi="Calibri"/>
        </w:rPr>
        <w:t xml:space="preserve">Per diem reports that are late, incomplete, or missing the folio are returned to the traveler. Repeated late or inaccurate reports may result in loss of advance privileges and are handled under [COMPANY NAME]'s disciplinary process. Claiming per diem for days not in travel status, or for provided meals not disclosed, is misconduct.</w:t>
      </w:r>
    </w:p>
    <w:p>
      <w:pPr>
        <w:spacing w:after="120" w:line="300"/>
      </w:pPr>
      <w:r>
        <w:rPr>
          <w:rFonts w:ascii="Calibri" w:cs="Calibri" w:eastAsia="Calibri" w:hAnsi="Calibri"/>
        </w:rPr>
        <w:t xml:space="preserve">[POLICY OWNER] reviews this policy each October when GSA publishes new rates, and whenever the IRS changes the accountable plan or high-low rules. Questions go to [POLICY OWNER].</w:t>
      </w:r>
    </w:p>
    <w:p>
      <w:r>
        <w:br w:type="page"/>
      </w:r>
    </w:p>
    <w:p>
      <w:pPr>
        <w:pStyle w:val="Heading1"/>
      </w:pPr>
      <w:r>
        <w:rPr>
          <w:rFonts w:ascii="Calibri" w:cs="Calibri" w:eastAsia="Calibri" w:hAnsi="Calibri"/>
          <w:b/>
          <w:bCs/>
        </w:rPr>
        <w:t xml:space="preserve">Appendix A. FY2027 Reference Rates</w:t>
      </w:r>
    </w:p>
    <w:p>
      <w:pPr>
        <w:spacing w:after="120" w:line="300"/>
      </w:pPr>
      <w:r>
        <w:rPr>
          <w:rFonts w:ascii="Calibri" w:cs="Calibri" w:eastAsia="Calibri" w:hAnsi="Calibri"/>
        </w:rPr>
        <w:t xml:space="preserve">GSA rates for October 1, 2026 to September 30, 2027. Named destinations have their own lodging caps, which can change by month; look them up before booking. Update this appendix each October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Item</w:t>
            </w:r>
          </w:p>
        </w:tc>
        <w:tc>
          <w:tcPr>
            <w:tcW w:type="dxa" w:w="46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FY2027 amount</w:t>
            </w:r>
          </w:p>
        </w:tc>
      </w:tr>
      <w:tr>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Standard lodging cap (counties with no named rate)</w:t>
            </w:r>
          </w:p>
        </w:tc>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$113 per night, before taxes</w:t>
            </w:r>
          </w:p>
        </w:tc>
      </w:tr>
      <w:tr>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Standard M&amp;IE</w:t>
            </w:r>
          </w:p>
        </w:tc>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$68 per day</w:t>
            </w:r>
          </w:p>
        </w:tc>
      </w:tr>
      <w:tr>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M&amp;IE tiers for named destinations</w:t>
            </w:r>
          </w:p>
        </w:tc>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$68, $74, $80, $86, $92</w:t>
            </w:r>
          </w:p>
        </w:tc>
      </w:tr>
      <w:tr>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Incidental expenses portion</w:t>
            </w:r>
          </w:p>
        </w:tc>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$5 per day</w:t>
            </w:r>
          </w:p>
        </w:tc>
      </w:tr>
      <w:tr>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First and last travel day M&amp;IE</w:t>
            </w:r>
          </w:p>
        </w:tc>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75% of the daily rate</w:t>
            </w:r>
          </w:p>
        </w:tc>
      </w:tr>
      <w:tr>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Lodging taxes</w:t>
            </w:r>
          </w:p>
        </w:tc>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Reimbursed separately, on the capped amount only</w:t>
            </w:r>
          </w:p>
        </w:tc>
      </w:tr>
      <w:tr>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Alaska, Hawaii, territories</w:t>
            </w:r>
          </w:p>
        </w:tc>
        <w:tc>
          <w:tcPr>
            <w:tcW w:type="dxa" w:w="46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Department of Defense rates</w:t>
            </w:r>
          </w:p>
        </w:tc>
      </w:tr>
      <w:tr>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Foreign travel</w:t>
            </w:r>
          </w:p>
        </w:tc>
        <w:tc>
          <w:tcPr>
            <w:tcW w:type="dxa" w:w="46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val="false"/>
                <w:bCs w:val="false"/>
                <w:sz w:val="20"/>
                <w:szCs w:val="20"/>
              </w:rPr>
              <w:t xml:space="preserve">Department of State rates</w:t>
            </w:r>
          </w:p>
        </w:tc>
      </w:tr>
    </w:tbl>
    <w:p/>
    <w:p>
      <w:pPr>
        <w:pStyle w:val="Heading1"/>
      </w:pPr>
      <w:r>
        <w:rPr>
          <w:rFonts w:ascii="Calibri" w:cs="Calibri" w:eastAsia="Calibri" w:hAnsi="Calibri"/>
          <w:b/>
          <w:bCs/>
        </w:rPr>
        <w:t xml:space="preserve">Appendix B. Provided Meal Deductions</w:t>
      </w:r>
    </w:p>
    <w:p>
      <w:pPr>
        <w:spacing w:after="120" w:line="300"/>
      </w:pPr>
      <w:r>
        <w:rPr>
          <w:rFonts w:ascii="Calibri" w:cs="Calibri" w:eastAsia="Calibri" w:hAnsi="Calibri"/>
        </w:rPr>
        <w:t xml:space="preserve">When a meal is provided, deduct the amount for that meal from the day's M&amp;IE. On a travel day, apply the 75% reduction first, then deduct the meal. The day never drops below the $5 incidental amount. Source: GSA M&amp;IE breakdown, FY2027.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M&amp;IE rate</w:t>
            </w:r>
          </w:p>
        </w:tc>
        <w:tc>
          <w:tcPr>
            <w:tcW w:type="dxa" w:w="1872"/>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Breakfast</w:t>
            </w:r>
          </w:p>
        </w:tc>
        <w:tc>
          <w:tcPr>
            <w:tcW w:type="dxa" w:w="1872"/>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Lunch</w:t>
            </w:r>
          </w:p>
        </w:tc>
        <w:tc>
          <w:tcPr>
            <w:tcW w:type="dxa" w:w="1872"/>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Dinner</w:t>
            </w:r>
          </w:p>
        </w:tc>
        <w:tc>
          <w:tcPr>
            <w:tcW w:type="dxa" w:w="1872"/>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Incidentals</w:t>
            </w:r>
          </w:p>
        </w:tc>
      </w:tr>
      <w:tr>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$68</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$16</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$19</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$28</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$5</w:t>
            </w:r>
          </w:p>
        </w:tc>
      </w:tr>
      <w:tr>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$74</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$18</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$20</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$31</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$5</w:t>
            </w:r>
          </w:p>
        </w:tc>
      </w:tr>
      <w:tr>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$80</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$20</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$22</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$33</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$5</w:t>
            </w:r>
          </w:p>
        </w:tc>
      </w:tr>
      <w:tr>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$86</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$22</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$23</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$36</w:t>
            </w:r>
          </w:p>
        </w:tc>
        <w:tc>
          <w:tcPr>
            <w:tcW w:type="dxa" w:w="1872"/>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$5</w:t>
            </w:r>
          </w:p>
        </w:tc>
      </w:tr>
      <w:tr>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$92</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$23</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$26</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$38</w:t>
            </w:r>
          </w:p>
        </w:tc>
        <w:tc>
          <w:tcPr>
            <w:tcW w:type="dxa" w:w="1872"/>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$5</w:t>
            </w:r>
          </w:p>
        </w:tc>
      </w:tr>
    </w:tbl>
    <w:p/>
    <w:p>
      <w:r>
        <w:br w:type="page"/>
      </w:r>
    </w:p>
    <w:p>
      <w:pPr>
        <w:pStyle w:val="Heading1"/>
      </w:pPr>
      <w:r>
        <w:rPr>
          <w:rFonts w:ascii="Calibri" w:cs="Calibri" w:eastAsia="Calibri" w:hAnsi="Calibri"/>
          <w:b/>
          <w:bCs/>
        </w:rPr>
        <w:t xml:space="preserve">Appendix C. Worked Example</w:t>
      </w:r>
    </w:p>
    <w:p>
      <w:pPr>
        <w:spacing w:after="120" w:line="300"/>
      </w:pPr>
      <w:r>
        <w:rPr>
          <w:rFonts w:ascii="Calibri" w:cs="Calibri" w:eastAsia="Calibri" w:hAnsi="Calibri"/>
        </w:rPr>
        <w:t xml:space="preserve">Three days in Austin, Texas, March 3 to 5. The FY2027 Austin lodging cap for March is $184 and M&amp;IE is $80. The traveler paid $172 a night before taxes for two nights, and lunch was provided on the last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880"/>
        <w:gridCol w:w="2880"/>
      </w:tblGrid>
      <w:tr>
        <w:trPr>
          <w:tblHeader/>
        </w:trPr>
        <w:tc>
          <w:tcPr>
            <w:tcW w:type="dxa" w:w="360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Day</w:t>
            </w:r>
          </w:p>
        </w:tc>
        <w:tc>
          <w:tcPr>
            <w:tcW w:type="dxa" w:w="28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Lodging</w:t>
            </w:r>
          </w:p>
        </w:tc>
        <w:tc>
          <w:tcPr>
            <w:tcW w:type="dxa" w:w="2880"/>
            <w:tcBorders>
              <w:top w:val="single" w:color="BFBFBF" w:sz="4"/>
              <w:left w:val="single" w:color="BFBFBF" w:sz="4"/>
              <w:bottom w:val="single" w:color="BFBFBF" w:sz="4"/>
              <w:right w:val="single" w:color="BFBFBF" w:sz="4"/>
            </w:tcBorders>
            <w:shd w:fill="E8E8E8" w:color="auto" w:val="clear"/>
            <w:tcMar>
              <w:top w:type="dxa" w:w="120"/>
              <w:left w:type="dxa" w:w="160"/>
              <w:bottom w:type="dxa" w:w="120"/>
              <w:right w:type="dxa" w:w="160"/>
            </w:tcMar>
          </w:tcPr>
          <w:p>
            <w:pPr>
              <w:jc w:val="right"/>
            </w:pPr>
            <w:r>
              <w:rPr>
                <w:rFonts w:ascii="Calibri" w:cs="Calibri" w:eastAsia="Calibri" w:hAnsi="Calibri"/>
                <w:b/>
                <w:bCs/>
                <w:sz w:val="20"/>
                <w:szCs w:val="20"/>
              </w:rPr>
              <w:t xml:space="preserve">M&amp;IE</w:t>
            </w:r>
          </w:p>
        </w:tc>
      </w:tr>
      <w:tr>
        <w:tc>
          <w:tcPr>
            <w:tcW w:type="dxa" w:w="360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Mar 3, departure day, 75%</w:t>
            </w:r>
          </w:p>
        </w:tc>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$172 (under the $184 cap)</w:t>
            </w:r>
          </w:p>
        </w:tc>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$60.00</w:t>
            </w:r>
          </w:p>
        </w:tc>
      </w:tr>
      <w:tr>
        <w:tc>
          <w:tcPr>
            <w:tcW w:type="dxa" w:w="360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Mar 4, full day</w:t>
            </w:r>
          </w:p>
        </w:tc>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$172 (under the $184 cap)</w:t>
            </w:r>
          </w:p>
        </w:tc>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$80.00</w:t>
            </w:r>
          </w:p>
        </w:tc>
      </w:tr>
      <w:tr>
        <w:tc>
          <w:tcPr>
            <w:tcW w:type="dxa" w:w="360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left"/>
            </w:pPr>
            <w:r>
              <w:rPr>
                <w:rFonts w:ascii="Calibri" w:cs="Calibri" w:eastAsia="Calibri" w:hAnsi="Calibri"/>
                <w:b/>
                <w:bCs/>
                <w:sz w:val="20"/>
                <w:szCs w:val="20"/>
              </w:rPr>
              <w:t xml:space="preserve">Mar 5, return day, 75%, lunch provided</w:t>
            </w:r>
          </w:p>
        </w:tc>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No night</w:t>
            </w:r>
          </w:p>
        </w:tc>
        <w:tc>
          <w:tcPr>
            <w:tcW w:type="dxa" w:w="2880"/>
            <w:tcBorders>
              <w:top w:val="single" w:color="BFBFBF" w:sz="4"/>
              <w:left w:val="single" w:color="BFBFBF" w:sz="4"/>
              <w:bottom w:val="single" w:color="BFBFBF" w:sz="4"/>
              <w:right w:val="single" w:color="BFBFBF" w:sz="4"/>
            </w:tcBorders>
            <w:shd w:fill="F5F5F5" w:color="auto" w:val="clear"/>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$60.00 less $22 lunch = $38.00</w:t>
            </w:r>
          </w:p>
        </w:tc>
      </w:tr>
      <w:tr>
        <w:tc>
          <w:tcPr>
            <w:tcW w:type="dxa" w:w="360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left"/>
            </w:pPr>
            <w:r>
              <w:rPr>
                <w:rFonts w:ascii="Calibri" w:cs="Calibri" w:eastAsia="Calibri" w:hAnsi="Calibri"/>
                <w:b/>
                <w:bCs/>
                <w:sz w:val="20"/>
                <w:szCs w:val="20"/>
              </w:rPr>
              <w:t xml:space="preserve">Total due</w:t>
            </w:r>
          </w:p>
        </w:tc>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$344.00</w:t>
            </w:r>
          </w:p>
        </w:tc>
        <w:tc>
          <w:tcPr>
            <w:tcW w:type="dxa" w:w="2880"/>
            <w:tcBorders>
              <w:top w:val="single" w:color="BFBFBF" w:sz="4"/>
              <w:left w:val="single" w:color="BFBFBF" w:sz="4"/>
              <w:bottom w:val="single" w:color="BFBFBF" w:sz="4"/>
              <w:right w:val="single" w:color="BFBFBF" w:sz="4"/>
            </w:tcBorders>
            <w:tcMar>
              <w:top w:type="dxa" w:w="120"/>
              <w:left w:type="dxa" w:w="160"/>
              <w:bottom w:type="dxa" w:w="120"/>
              <w:right w:type="dxa" w:w="160"/>
            </w:tcMar>
          </w:tcPr>
          <w:p>
            <w:pPr>
              <w:jc w:val="right"/>
            </w:pPr>
            <w:r>
              <w:rPr>
                <w:rFonts w:ascii="Calibri" w:cs="Calibri" w:eastAsia="Calibri" w:hAnsi="Calibri"/>
                <w:b w:val="false"/>
                <w:bCs w:val="false"/>
                <w:sz w:val="20"/>
                <w:szCs w:val="20"/>
              </w:rPr>
              <w:t xml:space="preserve">$178.00</w:t>
            </w:r>
          </w:p>
        </w:tc>
      </w:tr>
    </w:tbl>
    <w:p>
      <w:pPr>
        <w:spacing w:after="120" w:before="120"/>
      </w:pPr>
      <w:r>
        <w:rPr>
          <w:rFonts w:ascii="Calibri" w:cs="Calibri" w:eastAsia="Calibri" w:hAnsi="Calibri"/>
        </w:rPr>
        <w:t xml:space="preserve">Net due to the traveler: $522.00, plus lodging taxes on the $344 of room charges, claimed as a separate line. If the traveler had received a $200 advance, net due would be $322.00.</w:t>
      </w:r>
    </w:p>
    <w:p>
      <w:r>
        <w:br w:type="page"/>
      </w:r>
    </w:p>
    <w:p>
      <w:pPr>
        <w:pStyle w:val="Heading1"/>
      </w:pPr>
      <w:r>
        <w:rPr>
          <w:rFonts w:ascii="Calibri" w:cs="Calibri" w:eastAsia="Calibri" w:hAnsi="Calibri"/>
          <w:b/>
          <w:bCs/>
        </w:rPr>
        <w:t xml:space="preserve">Appendix D. Alternative Rate Clauses</w:t>
      </w:r>
    </w:p>
    <w:p>
      <w:pPr>
        <w:spacing w:after="120" w:line="300"/>
      </w:pPr>
      <w:r>
        <w:rPr>
          <w:rFonts w:ascii="Calibri" w:cs="Calibri" w:eastAsia="Calibri" w:hAnsi="Calibri"/>
        </w:rPr>
        <w:t xml:space="preserve">Replace Section 4 with one of the clauses below if [COMPANY NAME] does not want to use GSA rates by location. Keep Sections 5 through 12 as written; they work with any rate basis.</w:t>
      </w:r>
    </w:p>
    <w:p>
      <w:pPr>
        <w:pStyle w:val="Heading3"/>
      </w:pPr>
      <w:r>
        <w:rPr>
          <w:rFonts w:ascii="Calibri" w:cs="Calibri" w:eastAsia="Calibri" w:hAnsi="Calibri"/>
          <w:b/>
          <w:bCs/>
          <w:i/>
          <w:iCs/>
        </w:rPr>
        <w:t xml:space="preserve">Option 1: One flat company rate</w:t>
      </w:r>
    </w:p>
    <w:p>
      <w:pPr>
        <w:spacing w:after="120" w:line="300"/>
      </w:pPr>
      <w:r>
        <w:rPr>
          <w:rFonts w:ascii="Calibri" w:cs="Calibri" w:eastAsia="Calibri" w:hAnsi="Calibri"/>
        </w:rPr>
        <w:t xml:space="preserve">[COMPANY NAME] pays a flat per diem of $[FLAT LODGING] per night for lodging and $[FLAT M&amp;IE] per day for meals and incidental expenses at every destination in the continental United States. Flat rates at or below the GSA standard rate ($113 lodging and $68 M&amp;IE for FY2027) are under the federal ceiling everywhere. For higher flat rates, any amount above the GSA rate for the traveler's work location and month is taxable wages under Section 10. Provided meals are deducted using the Appendix B tier at or just below $[FLAT M&amp;IE]. [POLICY OWNER] reviews the flat rates each October 1.</w:t>
      </w:r>
    </w:p>
    <w:p>
      <w:pPr>
        <w:pStyle w:val="Heading3"/>
      </w:pPr>
      <w:r>
        <w:rPr>
          <w:rFonts w:ascii="Calibri" w:cs="Calibri" w:eastAsia="Calibri" w:hAnsi="Calibri"/>
          <w:b/>
          <w:bCs/>
          <w:i/>
          <w:iCs/>
        </w:rPr>
        <w:t xml:space="preserve">Option 2: IRS high-low method</w:t>
      </w:r>
    </w:p>
    <w:p>
      <w:pPr>
        <w:spacing w:after="120" w:line="300"/>
      </w:pPr>
      <w:r>
        <w:rPr>
          <w:rFonts w:ascii="Calibri" w:cs="Calibri" w:eastAsia="Calibri" w:hAnsi="Calibri"/>
        </w:rPr>
        <w:t xml:space="preserve">[COMPANY NAME] pays per diem under the IRS high-low substantiation method. Destinations on the IRS high-cost locality list receive the high rate; all other destinations in the continental United States receive the low rate, each split between lodging and M&amp;IE as published in the IRS special per diem notice in effect for the travel date. Any employee paid under this method is paid under it for all of their CONUS travel for the full calendar year, subject to the fourth-quarter transition rule in Rev. Proc. 2019-48. Appendix A is replaced by the current IRS notice.</w:t>
      </w:r>
    </w:p>
    <w:p>
      <w:pPr>
        <w:spacing w:after="120" w:line="300"/>
      </w:pPr>
      <w:r>
        <w:rPr>
          <w:rFonts w:ascii="Calibri" w:cs="Calibri" w:eastAsia="Calibri" w:hAnsi="Calibri"/>
        </w:rPr>
        <w:t xml:space="preserve">For October 1, 2026 to September 30, 2027 (IRS Notice 2026-60) the rates are $329 per day for high-cost localities ($86 M&amp;IE and $243 lodging) and $230 for all other localities ($74 M&amp;IE and $156 lodging). A locality is high-cost when its federal per diem rate is $280 or more. Self-employed travelers and employees who own more than 10% of the company cannot use the high-low method. Check irs.gov for the notice covering your travel dates.</w:t>
      </w:r>
    </w:p>
    <w:p>
      <w:pPr>
        <w:spacing w:before="280"/>
      </w:pPr>
    </w:p>
    <w:tbl>
      <w:tblPr>
        <w:tblW w:type="dxa" w:w="9360"/>
        <w:tblBorders>
          <w:top w:val="none" w:color="111111" w:sz="0"/>
          <w:left w:val="none" w:color="111111" w:sz="0"/>
          <w:bottom w:val="none" w:color="111111" w:sz="0"/>
          <w:right w:val="none" w:color="111111" w:sz="0"/>
          <w:insideH w:val="none" w:color="111111" w:sz="0"/>
          <w:insideV w:val="none" w:color="111111" w:sz="0"/>
        </w:tblBorders>
      </w:tblPr>
      <w:tblGrid>
        <w:gridCol w:w="9360"/>
      </w:tblGrid>
      <w:tr>
        <w:tc>
          <w:tcPr>
            <w:tcBorders>
              <w:top w:val="none" w:color="111111" w:sz="0"/>
              <w:left w:val="none" w:color="111111" w:sz="0"/>
              <w:bottom w:val="none" w:color="111111" w:sz="0"/>
              <w:right w:val="none" w:color="111111" w:sz="0"/>
            </w:tcBorders>
            <w:shd w:color="111111" w:val="solid"/>
            <w:tcMar>
              <w:top w:type="dxa" w:w="180"/>
              <w:left w:type="dxa" w:w="220"/>
              <w:bottom w:type="dxa" w:w="180"/>
              <w:right w:type="dxa" w:w="220"/>
            </w:tcMar>
          </w:tcPr>
          <w:p>
            <w:pPr>
              <w:spacing w:after="40"/>
            </w:pPr>
            <w:r>
              <w:rPr>
                <w:rFonts w:ascii="Calibri" w:cs="Calibri" w:eastAsia="Calibri" w:hAnsi="Calibri"/>
                <w:b/>
                <w:bCs/>
                <w:color w:val="FFFFFF"/>
                <w:sz w:val="24"/>
                <w:szCs w:val="24"/>
              </w:rPr>
              <w:t xml:space="preserve">Book, manage, and expense business travel in one place.</w:t>
            </w:r>
          </w:p>
          <w:p>
            <w:pPr>
              <w:spacing w:after="0"/>
            </w:pPr>
            <w:r>
              <w:rPr>
                <w:rFonts w:ascii="Calibri" w:cs="Calibri" w:eastAsia="Calibri" w:hAnsi="Calibri"/>
                <w:color w:val="FFFFFF"/>
                <w:sz w:val="20"/>
                <w:szCs w:val="20"/>
              </w:rPr>
              <w:t xml:space="preserve">Get started free at </w:t>
            </w:r>
            <w:hyperlink w:history="1" r:id="rIdx5iy8w4-cjx-eegi5v9px">
              <w:r>
                <w:rPr>
                  <w:rFonts w:ascii="Calibri" w:cs="Calibri" w:eastAsia="Calibri" w:hAnsi="Calibri"/>
                  <w:b/>
                  <w:bCs/>
                  <w:color w:val="FAB203"/>
                  <w:sz w:val="20"/>
                  <w:szCs w:val="20"/>
                  <w:u w:val="single"/>
                </w:rPr>
                <w:t xml:space="preserve">engine.com</w:t>
              </w:r>
            </w:hyperlink>
          </w:p>
        </w:tc>
      </w:tr>
    </w:tbl>
    <w:p>
      <w:pPr>
        <w:pBdr>
          <w:top w:val="single" w:color="BFBFBF" w:sz="6"/>
        </w:pBdr>
        <w:spacing w:after="40" w:before="220"/>
      </w:pPr>
      <w:r>
        <w:rPr>
          <w:rFonts w:ascii="Calibri" w:cs="Calibri" w:eastAsia="Calibri" w:hAnsi="Calibri"/>
          <w:b/>
          <w:bCs/>
          <w:color w:val="999999"/>
          <w:sz w:val="14"/>
          <w:szCs w:val="14"/>
        </w:rPr>
        <w:t xml:space="preserve">Disclaimer</w:t>
      </w:r>
    </w:p>
    <w:p>
      <w:pPr>
        <w:spacing w:after="0" w:line="200"/>
      </w:pPr>
      <w:r>
        <w:rPr>
          <w:rFonts w:ascii="Calibri" w:cs="Calibri" w:eastAsia="Calibri" w:hAnsi="Calibri"/>
          <w:color w:val="999999"/>
          <w:sz w:val="13"/>
          <w:szCs w:val="13"/>
        </w:rPr>
        <w:t xml:space="preserve">These templates are provided for general informational purposes only and do not constitute legal, financial, tax, HR, or compliance advice. Engine makes no representations or warranties of any kind, express or implied, regarding the accuracy, completeness, or suitability of these templates for any particular purpose or business. Use of these templates is at your own risk. Engine disclaims all liability for any damages, losses, or claims arising out of or related to your use of or reliance on these templates. You should consult qualified legal or professional counsel before implementing any template in your business.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Calibri" w:cs="Calibri" w:eastAsia="Calibri" w:hAnsi="Calibri"/>
        <w:color w:val="888888"/>
        <w:sz w:val="16"/>
        <w:szCs w:val="16"/>
      </w:rPr>
      <w:t xml:space="preserve">Template provided by Engine (engine.com). Free to edit and use. No attribution required.</w:t>
    </w:r>
    <w:r>
      <w:rPr>
        <w:rFonts w:ascii="Calibri" w:cs="Calibri" w:eastAsia="Calibri" w:hAnsi="Calibri"/>
        <w:color w:val="888888"/>
        <w:sz w:val="16"/>
        <w:szCs w:val="16"/>
      </w:rPr>
      <w:t xml:space="preserve">		Page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[COMPANY NAME] Per Diem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0"/>
    </w:pPr>
    <w:rPr>
      <w:rFonts w:ascii="Calibri" w:cs="Calibri" w:eastAsia="Calibri" w:hAnsi="Calibri"/>
      <w:b/>
      <w:bCs/>
      <w:color w:val="111111"/>
      <w:sz w:val="44"/>
      <w:szCs w:val="44"/>
    </w:rPr>
  </w:style>
  <w:style w:type="paragraph" w:styleId="Heading1">
    <w:name w:val="Heading 1"/>
    <w:basedOn w:val="Normal"/>
    <w:next w:val="Normal"/>
    <w:qFormat/>
    <w:pPr>
      <w:spacing w:after="160" w:before="320"/>
      <w:outlineLvl w:val="0"/>
    </w:pPr>
    <w:rPr>
      <w:rFonts w:ascii="Calibri" w:cs="Calibri" w:eastAsia="Calibri" w:hAnsi="Calibri"/>
      <w:b/>
      <w:bCs/>
      <w:color w:val="111111"/>
      <w:sz w:val="28"/>
      <w:szCs w:val="28"/>
    </w:rPr>
  </w:style>
  <w:style w:type="paragraph" w:styleId="Heading2">
    <w:name w:val="Heading 2"/>
    <w:basedOn w:val="Normal"/>
    <w:next w:val="Normal"/>
    <w:qFormat/>
    <w:pPr>
      <w:spacing w:after="100" w:before="220"/>
      <w:outlineLvl w:val="1"/>
    </w:pPr>
    <w:rPr>
      <w:rFonts w:ascii="Calibri" w:cs="Calibri" w:eastAsia="Calibri" w:hAnsi="Calibri"/>
      <w:b/>
      <w:bCs/>
      <w:color w:val="222222"/>
      <w:sz w:val="24"/>
      <w:szCs w:val="24"/>
    </w:rPr>
  </w:style>
  <w:style w:type="paragraph" w:styleId="Heading3">
    <w:name w:val="Heading 3"/>
    <w:basedOn w:val="Normal"/>
    <w:next w:val="Normal"/>
    <w:qFormat/>
    <w:pPr>
      <w:spacing w:after="80" w:before="160"/>
      <w:outlineLvl w:val="2"/>
    </w:pPr>
    <w:rPr>
      <w:rFonts w:ascii="Calibri" w:cs="Calibri" w:eastAsia="Calibri" w:hAnsi="Calibri"/>
      <w:b/>
      <w:bCs/>
      <w:i/>
      <w:iCs/>
      <w:color w:val="333333"/>
      <w:sz w:val="22"/>
      <w:szCs w:val="22"/>
    </w:rPr>
  </w:style>
  <w:style w:type="paragraph" w:styleId="MetaLabel">
    <w:name w:val="Meta Label"/>
    <w:basedOn w:val="Normal"/>
    <w:next w:val="Normal"/>
    <w:pPr>
      <w:spacing w:after="60"/>
    </w:pPr>
    <w:rPr>
      <w:rFonts w:ascii="Calibri" w:cs="Calibri" w:eastAsia="Calibri" w:hAnsi="Calibri"/>
      <w:color w:val="555555"/>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dzxon1dkfnpgblvucrq5" Type="http://schemas.openxmlformats.org/officeDocument/2006/relationships/hyperlink" Target="https://engine.com/?utm_source=template&amp;utm_medium=document&amp;utm_campaign=per-diem-policy-template" TargetMode="External"/><Relationship Id="rIdx5iy8w4-cjx-eegi5v9px" Type="http://schemas.openxmlformats.org/officeDocument/2006/relationships/hyperlink" Target="https://engine.com/?utm_source=template&amp;utm_medium=document&amp;utm_campaign=per-diem-policy-template"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2026-10-14T20:31:04.442Z</dcterms:created>
  <dcterms:modified xsi:type="dcterms:W3CDTF">2026-10-14T20:31:04.442Z</dcterms:modified>
</cp:coreProperties>
</file>

<file path=docProps/custom.xml><?xml version="1.0" encoding="utf-8"?>
<Properties xmlns="http://schemas.openxmlformats.org/officeDocument/2006/custom-properties" xmlns:vt="http://schemas.openxmlformats.org/officeDocument/2006/docPropsVTypes"/>
</file>